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/>
          <w:b/>
          <w:sz w:val="44"/>
          <w:szCs w:val="44"/>
        </w:rPr>
        <w:t>-202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sz w:val="44"/>
          <w:szCs w:val="44"/>
        </w:rPr>
        <w:t>学年第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二</w:t>
      </w:r>
      <w:r>
        <w:rPr>
          <w:rFonts w:ascii="宋体" w:hAnsi="宋体" w:eastAsia="宋体"/>
          <w:b/>
          <w:sz w:val="44"/>
          <w:szCs w:val="44"/>
        </w:rPr>
        <w:t>学期</w:t>
      </w:r>
      <w:r>
        <w:rPr>
          <w:rFonts w:hint="eastAsia" w:ascii="宋体" w:hAnsi="宋体" w:eastAsia="宋体"/>
          <w:b/>
          <w:sz w:val="44"/>
          <w:szCs w:val="44"/>
        </w:rPr>
        <w:t>教学</w:t>
      </w:r>
      <w:r>
        <w:rPr>
          <w:rFonts w:ascii="宋体" w:hAnsi="宋体" w:eastAsia="宋体"/>
          <w:b/>
          <w:sz w:val="44"/>
          <w:szCs w:val="44"/>
        </w:rPr>
        <w:t>工作总结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教务处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本学期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教务处工作在学校党委、校长室的带领下，以“敢为人先”的精神、“敢闯敢试”的胆识、“敢干实事”的志气、“敢于首创”的魄力，聚焦苏高职教育事业的高质量发展。以“引领发展、服务师生”为理念，推动职业教育数字化升级改造；以“课程建设”和“团队建设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主线</w:t>
      </w:r>
      <w:r>
        <w:rPr>
          <w:rFonts w:hint="eastAsia" w:ascii="仿宋" w:hAnsi="仿宋" w:eastAsia="仿宋"/>
          <w:sz w:val="32"/>
          <w:szCs w:val="32"/>
        </w:rPr>
        <w:t>，全力打造苏高职“行动课堂”，用高质量的课堂培养高质量的学生，推动学校事业再上新台阶。现将本学期的工作总结如下：</w:t>
      </w:r>
    </w:p>
    <w:p>
      <w:pPr>
        <w:spacing w:line="57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一、领航学校建设工作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迎接领航学校验收，总结凝练领航学校建设的成果和经验</w:t>
      </w:r>
      <w:r>
        <w:rPr>
          <w:rFonts w:hint="eastAsia" w:ascii="仿宋" w:hAnsi="仿宋" w:eastAsia="仿宋"/>
          <w:i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iCs/>
          <w:sz w:val="32"/>
          <w:szCs w:val="32"/>
        </w:rPr>
        <w:t>对照我校领航学校建设方案，从学校实际出发，找准定位、明确方向，聚焦目标、突出创新、凸显特色，以此为契机，实现创新发展、特色发展，推动学校各项管理工作的高质量发展。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加强专业内涵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工作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建设是职业学校抓内涵、抓质量，上台阶、上水平的突破口和着力点。深入学习贯彻习近平总书记关于数字中国建设的重要论述，全面落实省委关于打造全国数字经济创新发展新高地的总体部署，加快建设“数字经济、数字社会、数字政府”三位一体的数字苏州。结合我校办学定位和学科专业发展规划，促进各专业遵循教育教学规律，明确专业办学思路，谋划专业集群发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加强专业内涵发展，把握专业内在联系，完善专业建设的动态调整机制，不断优化专业结构。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1.优化专业结构。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不断强调专业集群发展的情况下，尽快加强跨专业融合和专业集群的贯通培养。本学期成功申报了我校第18个五年一贯制“环境艺术设计”专业（专业代码：650111）；与苏州工艺美院合作成功申报了中高职衔接“服装设计与工艺”专业（专业代码：680402）；成功申报了中日合作项目“商务日语”专业（专业代码：770202）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2.调整</w:t>
      </w:r>
      <w:r>
        <w:rPr>
          <w:rFonts w:hint="eastAsia" w:ascii="仿宋" w:hAnsi="仿宋" w:eastAsia="仿宋"/>
          <w:b/>
          <w:bCs/>
          <w:sz w:val="32"/>
          <w:szCs w:val="32"/>
        </w:rPr>
        <w:t>人才培养方案。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以专业群（系部）为基准，及时调整专业培养方向和培养目标，动态调整修订实施性人才培养方案。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级实施性人才培养方案经审定后投入实施，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由西交利物浦大学职业教育研究生团队参与我校专业建设，协同研究开发2023级实施性人才培养方案，进一步理顺教研室主任负责制的教学管理二级管理机制。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.严格课程标准管理。</w:t>
      </w:r>
      <w:r>
        <w:rPr>
          <w:rFonts w:hint="eastAsia" w:ascii="仿宋" w:hAnsi="仿宋" w:eastAsia="仿宋"/>
          <w:sz w:val="32"/>
          <w:szCs w:val="32"/>
        </w:rPr>
        <w:t>在实施性人才培养方案落地实施同时，加强课程标准建设，做到专业课程标准集群制订、学科课程标准严格执行国标。实行课程标准规范管理，深入开展以专业（学科）教研室为主体的教学研究，落实教法改革、推行“课堂革命”。加强教学公开课主题管理，加强对教师课堂教学秩序的调控，全面提高教学质量。继续推进精品课程建设计划、线上课程建设，促进教学质量的可持续发展。以课程建设推动各项教学基本建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4.教研室团队建设有成效。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专业（学科）教研室团队建设，以教研促科研、以科研引领教研。各教研室紧密围绕课程思政、行动课堂、课程资源建设、教学大赛、学业水平考试、信息技术与教学融合等主题，开展形式多样的教研活动和课程改革。以“主题教研”形式开展具有专业（学科）特点的公开教学，真正把教学公开课落到实处，实现主题教研人人参与的良好局面。</w:t>
      </w:r>
      <w:r>
        <w:rPr>
          <w:rFonts w:hint="eastAsia" w:ascii="仿宋" w:hAnsi="仿宋" w:eastAsia="仿宋"/>
          <w:sz w:val="32"/>
          <w:szCs w:val="32"/>
          <w:lang w:eastAsia="zh-CN"/>
        </w:rPr>
        <w:t>智能医疗装备技术专业教研室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功申报并立项了“2023年江苏省专业教学资源库”，学校组织6个基础、17个专业教研室在学校课程平台上建立了“虚拟教研室”，使得各专业（学科）教研活动有基地、教学研究有平台、教学创新有资源的良好局面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5.现代职教体系再行探索。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续尝试现代职教体系5+2项目的课程结构化研究，根据苏州城市学院转段要求，将大学英语四级项目多方面进行整合，聘请新东方英语培训机构进行专门化训练，为5+2项目积累经验。职教高考“艺术设计与制作”班加强教学研究，努力探索职教高考试点改革。现代职教体系3+3项目也进一步做了调整和规范。积极针对5+2项目开展了“专转本（英语）校本教材”的研发、“5+2（数学）校本导学案”正在积极投入研发。</w:t>
      </w:r>
    </w:p>
    <w:p>
      <w:pPr>
        <w:spacing w:line="570" w:lineRule="exact"/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三、重点工作有所突破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1.3+4中本衔接项目顺利转段。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与苏州天平学院合作举办的3+4中职-本科衔接项目顺利通过天平学院的专业课校考、文化课江苏省职教高考统考，25名同学录取本科院校，为我校3+4中高职衔接画上圆满句号。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2.5+2专转本考取96名。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2023年江苏省五年一贯制专转本考试中，我校96名学子成功上岸（其中退役士兵计划11名），录取本科高校。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3.课程思政研究落实到一线。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我校课程思政研究示范中心、各专业（学科）教研室深入一线开展“2023年第一次课程思政主题活动”，围绕“五个一”（一轮集体备课、一个课程资源库、一批优秀课例、一次主题研讨、一场成果汇报），举办课程思政系列主题活动；开展“2022-2023学年第二学期思政课程专项”主题活动，党政领导深入一线，把控思政教师的所言所行，所思所想。构建全体师生、全过程、全课程的育人格局形式，把“立德树人”作为教育的根本任务的一种综合教育理念。</w:t>
      </w:r>
    </w:p>
    <w:p>
      <w:pPr>
        <w:spacing w:line="57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行动课堂改革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逐步开展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教务处结合教学实际，依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据学校《实施行动课堂、深化教学改革》实施方案，以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各系部为单位，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开展形式多样的“行动课堂”教学研究，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并面向全校开展交流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7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、教务常规管理规范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1.常规管理井井有条。</w:t>
      </w:r>
      <w:r>
        <w:rPr>
          <w:rFonts w:hint="eastAsia" w:ascii="仿宋" w:hAnsi="仿宋" w:eastAsia="仿宋"/>
          <w:sz w:val="32"/>
          <w:szCs w:val="32"/>
        </w:rPr>
        <w:t>认真落实学校的各项教学管理制度，加强对教学常规的检查力度，严格执行教学管理制度（2021版），带领各系、各教研室认真学习和执行，促进我校教学管理规范化、制度化、科学化，严格教学纪律。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.实训管理安全可控。</w:t>
      </w:r>
      <w:r>
        <w:rPr>
          <w:rFonts w:hint="eastAsia" w:ascii="仿宋" w:hAnsi="仿宋" w:eastAsia="仿宋"/>
          <w:sz w:val="32"/>
          <w:szCs w:val="32"/>
        </w:rPr>
        <w:t>进一步推进实训基地建设，创新实训基地管理，充分发挥实训基地功能，服务专业群建设，服务产学研，服务创新创业教育。对实验实训场所教学做好防疫预案，各专业实训室、实验室按照防疫要求做好课前课后的通风消毒布置，做到责任落实到人，安全管控不留死角。体育课、实训课等多班级公用场所分散安排。</w:t>
      </w:r>
    </w:p>
    <w:p>
      <w:pPr>
        <w:spacing w:line="57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.技能证书全面推进。</w:t>
      </w:r>
      <w:r>
        <w:rPr>
          <w:rFonts w:hint="eastAsia" w:ascii="仿宋" w:hAnsi="仿宋" w:eastAsia="仿宋"/>
          <w:sz w:val="32"/>
          <w:szCs w:val="32"/>
        </w:rPr>
        <w:t>技能鉴定证书和1+X证书同步推进。目前，我校成立了市人社局技能鉴定中心6个证书的鉴定工作，覆盖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/>
          <w:sz w:val="32"/>
          <w:szCs w:val="32"/>
        </w:rPr>
        <w:t>系部，全面启动职业技能等级认定工作。进一步推进1+X证书试点工作，指导各系做好1+X证书的考证工作。</w:t>
      </w:r>
    </w:p>
    <w:p>
      <w:pPr>
        <w:spacing w:line="57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.教学大赛起航再出发。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赛季，我校高职组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1组</w:t>
      </w:r>
      <w:r>
        <w:rPr>
          <w:rFonts w:hint="eastAsia" w:ascii="仿宋" w:hAnsi="仿宋" w:eastAsia="仿宋"/>
          <w:sz w:val="32"/>
          <w:szCs w:val="32"/>
        </w:rPr>
        <w:t>、中职组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2组参加省赛。</w:t>
      </w:r>
      <w:r>
        <w:rPr>
          <w:rFonts w:hint="eastAsia" w:ascii="仿宋" w:hAnsi="仿宋" w:eastAsia="仿宋"/>
          <w:sz w:val="32"/>
          <w:szCs w:val="32"/>
        </w:rPr>
        <w:t>通过大赛，促进教学团队的建设、促进教师信息素养的提升，促进信息技术在教学中的广泛应用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促进学校和教师的业务提升。</w:t>
      </w:r>
    </w:p>
    <w:p>
      <w:pPr>
        <w:spacing w:line="570" w:lineRule="exact"/>
        <w:ind w:firstLine="643" w:firstLineChars="200"/>
        <w:rPr>
          <w:rFonts w:ascii="仿宋" w:hAnsi="仿宋" w:eastAsia="仿宋"/>
          <w:b/>
          <w:iCs/>
          <w:sz w:val="32"/>
          <w:szCs w:val="32"/>
        </w:rPr>
      </w:pPr>
      <w:r>
        <w:rPr>
          <w:rFonts w:hint="eastAsia" w:ascii="仿宋" w:hAnsi="仿宋" w:eastAsia="仿宋"/>
          <w:b/>
          <w:i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iCs/>
          <w:sz w:val="32"/>
          <w:szCs w:val="32"/>
        </w:rPr>
        <w:t>校内其他工作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iCs/>
          <w:sz w:val="32"/>
          <w:szCs w:val="32"/>
        </w:rPr>
        <w:t>按照江苏省教学管理规范的要求，做好每学年的教学档案资料收集、整理、归档工作，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并将试运行超星教务管理平台系统</w:t>
      </w:r>
      <w:r>
        <w:rPr>
          <w:rFonts w:ascii="仿宋" w:hAnsi="仿宋" w:eastAsia="仿宋"/>
          <w:iCs/>
          <w:sz w:val="32"/>
          <w:szCs w:val="32"/>
        </w:rPr>
        <w:t>实现管理材料网络化。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2.成功举办了我校“做一个博学而有趣的阅读者 —书香润校园 阅读伴我行 2023年苏高职读书节”系列活动。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3.组织学生参加第三届“外教社·词达人杯”全国大学生英语词汇能力大赛，最终，我校获国赛一等奖一项、省赛一等奖一项、二等奖两项、三等奖四项。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iCs/>
          <w:sz w:val="32"/>
          <w:szCs w:val="32"/>
        </w:rPr>
        <w:t>.做好各年级学生的成绩管理工作，提供学生的成绩资料档案。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iCs/>
          <w:sz w:val="32"/>
          <w:szCs w:val="32"/>
        </w:rPr>
        <w:t>.认真做好全校教师（包括外聘教师）工作量的核算与审批。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iCs/>
          <w:sz w:val="32"/>
          <w:szCs w:val="32"/>
        </w:rPr>
        <w:t>.做好学生征兵的成绩审核工作。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iCs/>
          <w:sz w:val="32"/>
          <w:szCs w:val="32"/>
        </w:rPr>
        <w:t>.做好全校各项材料的誊印工作以及各类考试试卷的分印工作。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iCs/>
          <w:sz w:val="32"/>
          <w:szCs w:val="32"/>
        </w:rPr>
        <w:t>．做好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/>
          <w:iCs/>
          <w:sz w:val="32"/>
          <w:szCs w:val="32"/>
        </w:rPr>
        <w:t>社会监考工作。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iCs/>
          <w:sz w:val="32"/>
          <w:szCs w:val="32"/>
        </w:rPr>
        <w:t>. 能认真做好各项临时性工作。</w:t>
      </w:r>
    </w:p>
    <w:p>
      <w:pPr>
        <w:spacing w:line="570" w:lineRule="exact"/>
        <w:ind w:firstLine="643" w:firstLineChars="200"/>
        <w:rPr>
          <w:rFonts w:ascii="仿宋" w:hAnsi="仿宋" w:eastAsia="仿宋"/>
          <w:b/>
          <w:iCs/>
          <w:sz w:val="32"/>
          <w:szCs w:val="32"/>
        </w:rPr>
      </w:pPr>
      <w:r>
        <w:rPr>
          <w:rFonts w:hint="eastAsia" w:ascii="仿宋" w:hAnsi="仿宋" w:eastAsia="仿宋"/>
          <w:b/>
          <w:i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iCs/>
          <w:sz w:val="32"/>
          <w:szCs w:val="32"/>
        </w:rPr>
        <w:t>、其他承担工作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ascii="仿宋" w:hAnsi="仿宋" w:eastAsia="仿宋"/>
          <w:iCs/>
          <w:sz w:val="32"/>
          <w:szCs w:val="32"/>
        </w:rPr>
        <w:t>1.承担了苏州市职业教育教材征订工作。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ascii="仿宋" w:hAnsi="仿宋" w:eastAsia="仿宋"/>
          <w:iCs/>
          <w:sz w:val="32"/>
          <w:szCs w:val="32"/>
        </w:rPr>
        <w:t>2.协助苏州市教育局高职教处承担了在我校建立了的“苏州市职业教育教材展示馆”的日常管理工作，并相应分担了部分学校的会议工作。</w:t>
      </w:r>
    </w:p>
    <w:p>
      <w:pPr>
        <w:spacing w:line="570" w:lineRule="exact"/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ascii="仿宋" w:hAnsi="仿宋" w:eastAsia="仿宋"/>
          <w:iCs/>
          <w:sz w:val="32"/>
          <w:szCs w:val="32"/>
        </w:rPr>
        <w:t>3.承担了“苏州市职业教育教材展示网”的管理工作，承担日常管理与维护工作。</w:t>
      </w: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i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Y2MDU2ZmVlN2JhZTQwZWZlZGM4ZGEwNWZmOTMifQ=="/>
  </w:docVars>
  <w:rsids>
    <w:rsidRoot w:val="005A1323"/>
    <w:rsid w:val="00024D0F"/>
    <w:rsid w:val="000C1FF1"/>
    <w:rsid w:val="00100B00"/>
    <w:rsid w:val="00124CD1"/>
    <w:rsid w:val="001344B7"/>
    <w:rsid w:val="001757EA"/>
    <w:rsid w:val="001E776B"/>
    <w:rsid w:val="00293A42"/>
    <w:rsid w:val="002C3441"/>
    <w:rsid w:val="002D3411"/>
    <w:rsid w:val="002E3D05"/>
    <w:rsid w:val="00330CAD"/>
    <w:rsid w:val="00346B30"/>
    <w:rsid w:val="00370F2C"/>
    <w:rsid w:val="003727E6"/>
    <w:rsid w:val="003A6E79"/>
    <w:rsid w:val="003B48EB"/>
    <w:rsid w:val="003C19AF"/>
    <w:rsid w:val="004071A0"/>
    <w:rsid w:val="004303EE"/>
    <w:rsid w:val="00471954"/>
    <w:rsid w:val="00492D25"/>
    <w:rsid w:val="005306C6"/>
    <w:rsid w:val="0058232F"/>
    <w:rsid w:val="005A1323"/>
    <w:rsid w:val="005C634D"/>
    <w:rsid w:val="0063541A"/>
    <w:rsid w:val="006528E9"/>
    <w:rsid w:val="0067278F"/>
    <w:rsid w:val="006A323F"/>
    <w:rsid w:val="006C4DA4"/>
    <w:rsid w:val="00753B31"/>
    <w:rsid w:val="00767A96"/>
    <w:rsid w:val="0085528B"/>
    <w:rsid w:val="0089022D"/>
    <w:rsid w:val="0098007D"/>
    <w:rsid w:val="00984E86"/>
    <w:rsid w:val="009F5CC7"/>
    <w:rsid w:val="00A30FA5"/>
    <w:rsid w:val="00A5512C"/>
    <w:rsid w:val="00AA4CB8"/>
    <w:rsid w:val="00AD73E4"/>
    <w:rsid w:val="00AE51C7"/>
    <w:rsid w:val="00AF1156"/>
    <w:rsid w:val="00B164F8"/>
    <w:rsid w:val="00C35B61"/>
    <w:rsid w:val="00C47F4E"/>
    <w:rsid w:val="00C61904"/>
    <w:rsid w:val="00C64420"/>
    <w:rsid w:val="00CE4E1A"/>
    <w:rsid w:val="00CE7764"/>
    <w:rsid w:val="00D221EA"/>
    <w:rsid w:val="00D43895"/>
    <w:rsid w:val="00D63514"/>
    <w:rsid w:val="00DA0F1F"/>
    <w:rsid w:val="00DE01F2"/>
    <w:rsid w:val="00DF4D10"/>
    <w:rsid w:val="00ED5B27"/>
    <w:rsid w:val="00EE253C"/>
    <w:rsid w:val="00EF07B1"/>
    <w:rsid w:val="00F867B0"/>
    <w:rsid w:val="00FA1392"/>
    <w:rsid w:val="00FA65C9"/>
    <w:rsid w:val="00FB324C"/>
    <w:rsid w:val="00FE417A"/>
    <w:rsid w:val="00FF01BC"/>
    <w:rsid w:val="00FF0E34"/>
    <w:rsid w:val="057A110F"/>
    <w:rsid w:val="082157F4"/>
    <w:rsid w:val="1F9F2F0E"/>
    <w:rsid w:val="204E708C"/>
    <w:rsid w:val="244D380B"/>
    <w:rsid w:val="3A2E4803"/>
    <w:rsid w:val="3DC90077"/>
    <w:rsid w:val="3F603A28"/>
    <w:rsid w:val="400279D9"/>
    <w:rsid w:val="53A75436"/>
    <w:rsid w:val="559C2086"/>
    <w:rsid w:val="5D6D78EC"/>
    <w:rsid w:val="5F3729F1"/>
    <w:rsid w:val="60E2760A"/>
    <w:rsid w:val="62986BCB"/>
    <w:rsid w:val="77F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4301</Words>
  <Characters>4430</Characters>
  <Lines>47</Lines>
  <Paragraphs>13</Paragraphs>
  <TotalTime>25</TotalTime>
  <ScaleCrop>false</ScaleCrop>
  <LinksUpToDate>false</LinksUpToDate>
  <CharactersWithSpaces>4434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2021-12-06T13:08:00Z</dcterms:created>
  <dc:creator>wu sy</dc:creator>
  <cp:lastModifiedBy>wusysz</cp:lastModifiedBy>
  <dcterms:modified xsi:type="dcterms:W3CDTF">2023-12-04T05:06:25Z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1DE10A5EC1AE41FAAE4FBA53B1BA61C4_13</vt:lpwstr>
  </property>
</Properties>
</file>