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outlineLvl w:val="0"/>
        <w:rPr>
          <w:rFonts w:ascii="黑体" w:eastAsia="黑体"/>
          <w:b/>
          <w:sz w:val="36"/>
          <w:szCs w:val="36"/>
        </w:rPr>
      </w:pPr>
      <w:bookmarkStart w:id="2" w:name="_GoBack"/>
      <w:bookmarkStart w:id="0" w:name="_Toc392605691"/>
      <w:bookmarkStart w:id="1" w:name="_Toc377554215"/>
      <w:r>
        <w:rPr>
          <w:rFonts w:hint="eastAsia" w:ascii="黑体" w:eastAsia="黑体"/>
          <w:b/>
          <w:sz w:val="36"/>
          <w:szCs w:val="36"/>
          <w:lang w:val="en-US" w:eastAsia="zh-CN"/>
        </w:rPr>
        <w:t>经济贸易系</w:t>
      </w:r>
      <w:r>
        <w:rPr>
          <w:rFonts w:hint="eastAsia" w:ascii="黑体" w:eastAsia="黑体"/>
          <w:b/>
          <w:sz w:val="36"/>
          <w:szCs w:val="36"/>
        </w:rPr>
        <w:t>20</w:t>
      </w:r>
      <w:bookmarkEnd w:id="0"/>
      <w:bookmarkEnd w:id="1"/>
      <w:r>
        <w:rPr>
          <w:rFonts w:hint="eastAsia" w:ascii="黑体" w:eastAsia="黑体"/>
          <w:b/>
          <w:sz w:val="36"/>
          <w:szCs w:val="36"/>
          <w:lang w:val="en-US" w:eastAsia="zh-CN"/>
        </w:rPr>
        <w:t>23</w:t>
      </w:r>
      <w:r>
        <w:rPr>
          <w:rFonts w:hint="eastAsia" w:ascii="黑体" w:eastAsia="黑体"/>
          <w:b/>
          <w:sz w:val="36"/>
          <w:szCs w:val="36"/>
        </w:rPr>
        <w:t>—202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sz w:val="36"/>
          <w:szCs w:val="36"/>
        </w:rPr>
        <w:t>学年第一学期工作计划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学期，经济贸易系在学校党委、校长室的带领下，在教学管理处的指引下，以“敢为人先”的精神、“敢闯敢试”的胆识、“敢干实事”的志气、“敢于首创”的魄力，聚焦苏高职教育事业的高质量发展。以“引领发展、服务师生”为理念，推动职业教育数字化升级改造；以“课程建设”和“团队建设”为主线，全力打造苏高职“行动课堂”，用高质量的课堂培养高质量的学生，推动学校事业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一、强化专业建设工作，聚焦高质量发展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1.持续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优化专业结构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以习近平新时代中国特色社会主义思想为指导，深入分析行业发展、产业规划与社会需求，坚持产教融合、校企合作、科教融汇，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立足区域和地方经济社会发展需要，积极融入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主动服务苏州市产业结构调整等多项重大战略。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经济贸易系目前开设2个五年制专业：电子商务专业、国际商务专业。1个3+3专业：大数据与会计专业。本学期，经贸系将继续探索专业结构优化，尝试新专业调整与设置。以更好地满足为区域经济发展培养高素质技能人才的需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科学制订实施性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人才培养方案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经贸系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各专业以专业建设为核心，准确定位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2023级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人才培养目标和培养规格，强化核心能力培养，定期深入行业、企业进行人才需求情况调研，及时掌握学生就业及岗位能力要求变化情况，及时调整专业培养方向和培养目标，动态调整修订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2023级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实施性人才培养方案。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严格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课程标准管理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课程标准是执行专业人才培养方案，实现培养目标的教学指导文件，是编写或选用教材、组织教学、进行课堂教学质量评价和教学管理的主要依据。课程标准的制定是课程改革的先导，对课程改革起到指导、引领作用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经济贸易系各专业依据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教育部《关于全面提高高等职业教育教学质量的若干意见》提出的“建立突出职业能力培养的课程标准”，从职业需要出发，规范课程的基本要求，选择课程内容，安排教学顺序，培养学生的职业能力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制订规范的课程标准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加强课程标准建设，做到专业课程标准集群制订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课课有标准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课课按标准执行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经贸系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要求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专业教研室做到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各门课程标准制定要服从专业人才培养方案整体优化的要求，明确本门课程在专业人才培养中的地位、作用和任务，突出教育的两个基本功能。既要为实现人的个性特长发展服务，又要为实现社会发展服务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加强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专业教研室团队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建设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根据《教育部关于印发〈全国职业院校教师教学创新团队建设方案〉的通知》（教师函〔2019〕4号）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要求，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进一步加强专业（学科）教研室团队建设，以教研促科研、以科研引领教研。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做好课程总体设计，创新团队教师集体备课、协同教研，分工协作进行模块化教学，形成各具特色的教学风格，不断提升教学质量效果。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规范实训技能工作，促进岗课赛证融合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组织好技能大赛管理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秉承“以赛促训，赛训结合，强化技能，知行合一”的主题，坚持“通过专业技能竞赛体系，使得专业课学习和学生能力培养相结合，各专业结合自身专业特点开展与之相适应的竞技比赛，使得课堂学习与课外比赛有机结合”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规范好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技能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鉴定工作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根据学校教学管理处工作要求，经济贸易系本学期将聚焦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技能鉴定证书和1+X证书同步推进。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目前，经济贸易系已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启动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人社局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职业技能等级认定工作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本学期计划完成电子商务专业19级学生的考工。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探索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职业体验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中心建设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根据学校工作实际，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目前共建设江苏省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苏州市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中小学职业体验中心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个：电子工程系“5G通信”、机电工程系“现代组子工匠坊”、服装工程系“服装与服饰设计体验中心”、信息工程系“人工智能体验中心”。今年，推动职业教育资源面向基础教育开放，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加强职普融通，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提升中小学综合实践活动课程、劳动技术、通用技术课程学习实施水平。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经济贸易系将继续探索职普融通，力争有所突破。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完善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实训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过程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本学期，经济贸易系将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进一步推进实训基地建设，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加强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实训基地管理，充分发挥实训基地功能，服务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电子商务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专业群建设，服务产学研，服务创新创业教育。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对实验实训场所教学做好防疫预案，各专业实训室、实验室按照防疫要求做好课前课后的通风消毒布置，做到责任落实到人，安全管控不留死角。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持续推进课程改革，探索教学评价方式改革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稳步推进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行动课堂改革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根据学校《实施行动课堂、深化教学改革》实施方案，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在教学管理处的指引下，经济贸易系将继续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以教研室为载体，开展形式多样的“行动课堂”教学研究，深入课堂、深入教学一线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充分积累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课程思政研究成果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本学期，经贸系将根据学校相关工作要求，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组织专业教研室开展课程思政研究，举办形式多样的教研活动，积累资源、优化教学内容，构建全体师生、育人全过程、全部课程协同育人的“大思政”格局。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试点改革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教学质量考核式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通过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上一学年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尝试进行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教学质量考核方式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改革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本学期经贸系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在教学管理处的工作要求指引下，开展将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“教学考核”与教研室建设相挂钩，在个人考核的基础上，加推团队考核。从而促进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全系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教师的教学积极性和团队荣誉感。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有序规范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成绩管理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规范成绩管理，保证教学质量，确保教学管理工作的严谨和规范。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根据教学管理处的工作要求，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任课教师、各系部、教务处共同承担成绩管理责任。各责任人应以对学生负责、教书育人的态度，共同维护成绩的权威性、管理的严肃性，严格保证教学质量。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四、加强教学常规管理，认真执行教学规范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常规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管理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集约化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本学期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经济贸易系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继续抓好教学常规，严格执行教学“七认真”，明确教学常规各环节的具体要求，持续做好教学巡查和推门听课制度，加强对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教学工作的指导、检查、督促、信息反馈与服务工作。加强教学常规检查，包括期末质量检查，学生座谈等，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根据教学管理处、质量监督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的工作要求，配合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做好监督反馈工作。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助力学校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的“双螺旋”式教学督导走向纵深。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持续推行主题教研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继续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深入开展以专业教研室为主体的教学研究，落实教法改革、推行“课堂革命”。加强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教研活动主题管理，尝试推行系列主题教研活动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，加强对教师课堂教学秩序的调控，全面提高教学质量。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尝试教学改革和课程改革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经济贸易系将继续加强校企合作，深化产教融合，以适应产业转型升级和经济高质量发展，按照职业岗位（群）能力要求和相关职业标准，不断开发和完善课程标准。打破原有的专业课程体系框架，基于职业工作过程重构。积极将职业技能等级标准，行业企业新技术、新工艺、新规范和优质课程等资源纳入专业课程教学，研究制订专业能力模块化课程设置方案，将每个专业划分为若干核心模块单元。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将行业企业融入建设周期，全过程参与人才培养方案制订、课程体系重构、模块化教学设计实施等。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7607600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6514A"/>
    <w:multiLevelType w:val="singleLevel"/>
    <w:tmpl w:val="980651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FCE6C1"/>
    <w:multiLevelType w:val="singleLevel"/>
    <w:tmpl w:val="DAFCE6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0847948"/>
    <w:multiLevelType w:val="singleLevel"/>
    <w:tmpl w:val="E084794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0EDD765"/>
    <w:multiLevelType w:val="singleLevel"/>
    <w:tmpl w:val="E0EDD76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789071C"/>
    <w:multiLevelType w:val="singleLevel"/>
    <w:tmpl w:val="078907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A81EC63"/>
    <w:multiLevelType w:val="singleLevel"/>
    <w:tmpl w:val="1A81EC6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TcyNTRiZDg4MTk0NDdjYjJhZmE1ZTk1YTQ1NmQifQ=="/>
  </w:docVars>
  <w:rsids>
    <w:rsidRoot w:val="28412F3E"/>
    <w:rsid w:val="2841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2023-12-04T06:15:00Z</dcterms:created>
  <dc:creator>Administrator</dc:creator>
  <cp:lastModifiedBy>Administrator</cp:lastModifiedBy>
  <dcterms:modified xsi:type="dcterms:W3CDTF">2023-12-04T07:32:36Z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43FF258F2B254A9F8C4A924E6662754F_11</vt:lpwstr>
  </property>
</Properties>
</file>