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附</w:t>
      </w:r>
      <w:r>
        <w:rPr>
          <w:rFonts w:hint="eastAsia"/>
          <w:b/>
          <w:bCs/>
          <w:szCs w:val="21"/>
          <w:lang w:val="en-US" w:eastAsia="zh-CN"/>
        </w:rPr>
        <w:t>件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rFonts w:hint="eastAsia"/>
          <w:b/>
          <w:bCs/>
          <w:szCs w:val="21"/>
        </w:rPr>
        <w:t>月份常规督导听课汇总表</w:t>
      </w:r>
    </w:p>
    <w:tbl>
      <w:tblPr>
        <w:tblStyle w:val="2"/>
        <w:tblpPr w:leftFromText="180" w:rightFromText="180" w:vertAnchor="text" w:horzAnchor="margin" w:tblpXSpec="center" w:tblpY="6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29"/>
        <w:gridCol w:w="879"/>
        <w:gridCol w:w="879"/>
        <w:gridCol w:w="1392"/>
        <w:gridCol w:w="1062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日期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（课次）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纪律得分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卫生得分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授教课程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000000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授课老师得分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11.01（5）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23数控（2）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11.02（3）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20服装与陈列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立体裁剪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11.13（3）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23国商（1）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91.83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90.83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11.14（1）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与陈列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草图大师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缺上课礼仪，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无教材、无教学计划、教案比较简单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11.14（5）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传感与检测技术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缺上课礼仪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21数媒（2）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居住空间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缺上课礼仪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21服装与服饰（2）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11.16（4）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23服装与服饰（1）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服装与缝制工艺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11.17（1）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20电工（1）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缺上课礼仪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11.17（3）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22国商（1）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11.17（3）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21数媒（2）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居住空间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11.21（3）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22光伏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11.21（5）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23数控（1）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11.21（5）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11.22（1）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20陈列与展示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陈列与展示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11.22（5）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22数媒（1）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89.25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11.23（1）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22智能医疗（2）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哲学与人生（思政）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11.23（1）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21数媒（3）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91.25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11.23（5）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21数媒（4）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11.23（5）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22会计（3+3）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11.24（1）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教案书写有欠缺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11.24（3）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20国商（2）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商务谈判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11.27（1）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21云计算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高级办公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11.27（2）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23服装（3+3）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11.27（2）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20电商（1）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11.27（3）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23机器人（2）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11.28（2）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22服饰（2）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11.28（3）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21机器人（1）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缺上课礼仪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11.29（3）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21数媒（3）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动漫角色与场景设计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上课礼仪缺少问候环节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WY0YmEzZjdmZGZlMWY0NTcyNjkyZjE3ZDY2ZWUifQ=="/>
  </w:docVars>
  <w:rsids>
    <w:rsidRoot w:val="0BBC0EF8"/>
    <w:rsid w:val="0BBC0EF8"/>
    <w:rsid w:val="703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2024-01-16T06:55:00Z</dcterms:created>
  <dc:creator>周建春</dc:creator>
  <cp:lastModifiedBy>山青水秀</cp:lastModifiedBy>
  <dcterms:modified xsi:type="dcterms:W3CDTF">2024-01-16T07:07:59Z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3E35BDFAEEE14F07807C4E847A6631B8_13</vt:lpwstr>
  </property>
</Properties>
</file>